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380"/>
        <w:gridCol w:w="11470"/>
      </w:tblGrid>
      <w:tr w:rsidR="00297D26" w:rsidRPr="009F5677" w:rsidTr="004D79E0">
        <w:tc>
          <w:tcPr>
            <w:tcW w:w="2150" w:type="dxa"/>
            <w:shd w:val="clear" w:color="auto" w:fill="0C0C0C"/>
          </w:tcPr>
          <w:p w:rsidR="00297D26" w:rsidRPr="009F5677" w:rsidRDefault="00297D26" w:rsidP="004D79E0">
            <w:pPr>
              <w:jc w:val="center"/>
              <w:rPr>
                <w:color w:val="FFFFFF"/>
                <w:sz w:val="32"/>
                <w:szCs w:val="36"/>
              </w:rPr>
            </w:pPr>
            <w:r>
              <w:br w:type="page"/>
            </w:r>
            <w:r w:rsidRPr="009F5677">
              <w:rPr>
                <w:color w:val="FFFFFF"/>
                <w:sz w:val="32"/>
                <w:szCs w:val="36"/>
              </w:rPr>
              <w:t>New Cutting Edge Upper Intermediate</w:t>
            </w:r>
          </w:p>
        </w:tc>
        <w:tc>
          <w:tcPr>
            <w:tcW w:w="11850" w:type="dxa"/>
            <w:gridSpan w:val="2"/>
            <w:shd w:val="clear" w:color="auto" w:fill="0C0C0C"/>
          </w:tcPr>
          <w:p w:rsidR="00297D26" w:rsidRPr="009F5677" w:rsidRDefault="00297D26" w:rsidP="004D79E0">
            <w:pPr>
              <w:jc w:val="center"/>
              <w:rPr>
                <w:color w:val="FFFFFF"/>
                <w:sz w:val="32"/>
                <w:szCs w:val="36"/>
              </w:rPr>
            </w:pPr>
            <w:r w:rsidRPr="009F5677">
              <w:rPr>
                <w:color w:val="FFFFFF"/>
                <w:sz w:val="32"/>
                <w:szCs w:val="36"/>
              </w:rPr>
              <w:t>Key Skill Areas for Common European Framework ‘can do’ statements</w:t>
            </w:r>
          </w:p>
          <w:p w:rsidR="00297D26" w:rsidRPr="009F5677" w:rsidRDefault="00297D26" w:rsidP="004D79E0">
            <w:pPr>
              <w:jc w:val="center"/>
              <w:rPr>
                <w:color w:val="FFFFFF"/>
                <w:sz w:val="32"/>
                <w:szCs w:val="36"/>
              </w:rPr>
            </w:pPr>
            <w:r w:rsidRPr="009F5677">
              <w:rPr>
                <w:color w:val="FFFFFF"/>
                <w:sz w:val="32"/>
                <w:szCs w:val="36"/>
              </w:rPr>
              <w:t>B2+</w:t>
            </w:r>
          </w:p>
        </w:tc>
      </w:tr>
      <w:tr w:rsidR="00297D26" w:rsidTr="004D79E0">
        <w:tc>
          <w:tcPr>
            <w:tcW w:w="2530" w:type="dxa"/>
            <w:gridSpan w:val="2"/>
            <w:shd w:val="clear" w:color="auto" w:fill="auto"/>
          </w:tcPr>
          <w:p w:rsidR="00297D26" w:rsidRDefault="00297D26" w:rsidP="004D79E0">
            <w:pPr>
              <w:spacing w:before="60"/>
            </w:pPr>
            <w:r>
              <w:t>Module 1</w:t>
            </w:r>
          </w:p>
        </w:tc>
        <w:tc>
          <w:tcPr>
            <w:tcW w:w="11470" w:type="dxa"/>
            <w:shd w:val="clear" w:color="auto" w:fill="auto"/>
          </w:tcPr>
          <w:p w:rsidR="00297D26" w:rsidRDefault="00297D26" w:rsidP="004D79E0">
            <w:pPr>
              <w:spacing w:before="60"/>
            </w:pPr>
            <w:r>
              <w:t>Revision verb forms, auxiliaries | B2.7, B2.15, B2.17, B2.34 Dictionary Skills: word building</w:t>
            </w:r>
          </w:p>
        </w:tc>
      </w:tr>
      <w:tr w:rsidR="00297D26" w:rsidTr="004D79E0">
        <w:tc>
          <w:tcPr>
            <w:tcW w:w="2530" w:type="dxa"/>
            <w:gridSpan w:val="2"/>
            <w:shd w:val="clear" w:color="auto" w:fill="auto"/>
          </w:tcPr>
          <w:p w:rsidR="00297D26" w:rsidRDefault="00297D26" w:rsidP="004D79E0">
            <w:pPr>
              <w:spacing w:before="60"/>
            </w:pPr>
            <w:r>
              <w:t>Module 2</w:t>
            </w:r>
          </w:p>
        </w:tc>
        <w:tc>
          <w:tcPr>
            <w:tcW w:w="11470" w:type="dxa"/>
            <w:shd w:val="clear" w:color="auto" w:fill="auto"/>
          </w:tcPr>
          <w:p w:rsidR="00297D26" w:rsidRDefault="00297D26" w:rsidP="004D79E0">
            <w:pPr>
              <w:spacing w:before="60"/>
            </w:pPr>
            <w:r>
              <w:t xml:space="preserve">Nouns, gerunds, adjectives | C1.1, B2.9, B2.16, </w:t>
            </w:r>
          </w:p>
        </w:tc>
      </w:tr>
      <w:tr w:rsidR="00297D26" w:rsidTr="004D79E0">
        <w:tc>
          <w:tcPr>
            <w:tcW w:w="2530" w:type="dxa"/>
            <w:gridSpan w:val="2"/>
            <w:shd w:val="clear" w:color="auto" w:fill="auto"/>
          </w:tcPr>
          <w:p w:rsidR="00297D26" w:rsidRDefault="00297D26" w:rsidP="004D79E0">
            <w:pPr>
              <w:spacing w:before="60"/>
            </w:pPr>
            <w:r>
              <w:t>Module 3</w:t>
            </w:r>
          </w:p>
        </w:tc>
        <w:tc>
          <w:tcPr>
            <w:tcW w:w="11470" w:type="dxa"/>
            <w:shd w:val="clear" w:color="auto" w:fill="auto"/>
          </w:tcPr>
          <w:p w:rsidR="00297D26" w:rsidRDefault="00297D26" w:rsidP="004D79E0">
            <w:pPr>
              <w:spacing w:before="60"/>
            </w:pPr>
            <w:r>
              <w:t>Narrative verb forms | B2.1, B2.6, B2.13, B2.16, B2.34 Using collocations</w:t>
            </w:r>
          </w:p>
        </w:tc>
      </w:tr>
      <w:tr w:rsidR="00297D26" w:rsidTr="004D79E0">
        <w:tc>
          <w:tcPr>
            <w:tcW w:w="2530" w:type="dxa"/>
            <w:gridSpan w:val="2"/>
            <w:shd w:val="clear" w:color="auto" w:fill="auto"/>
          </w:tcPr>
          <w:p w:rsidR="00297D26" w:rsidRDefault="00297D26" w:rsidP="004D79E0">
            <w:pPr>
              <w:spacing w:before="60"/>
            </w:pPr>
            <w:r>
              <w:t>Module 4</w:t>
            </w:r>
          </w:p>
        </w:tc>
        <w:tc>
          <w:tcPr>
            <w:tcW w:w="11470" w:type="dxa"/>
            <w:shd w:val="clear" w:color="auto" w:fill="auto"/>
          </w:tcPr>
          <w:p w:rsidR="00297D26" w:rsidRDefault="00297D26" w:rsidP="004D79E0">
            <w:pPr>
              <w:spacing w:before="60"/>
            </w:pPr>
            <w:r>
              <w:t xml:space="preserve">Passive, </w:t>
            </w:r>
            <w:r w:rsidRPr="009F5677">
              <w:rPr>
                <w:i/>
              </w:rPr>
              <w:t>have/get something done</w:t>
            </w:r>
            <w:r>
              <w:t xml:space="preserve"> | B2.5, B2.15, B2.17, C1.8, C1.9, C1.32</w:t>
            </w:r>
          </w:p>
        </w:tc>
      </w:tr>
      <w:tr w:rsidR="00297D26" w:rsidTr="004D79E0">
        <w:tc>
          <w:tcPr>
            <w:tcW w:w="2530" w:type="dxa"/>
            <w:gridSpan w:val="2"/>
            <w:shd w:val="clear" w:color="auto" w:fill="auto"/>
          </w:tcPr>
          <w:p w:rsidR="00297D26" w:rsidRDefault="00297D26" w:rsidP="004D79E0">
            <w:pPr>
              <w:spacing w:before="60"/>
            </w:pPr>
            <w:r>
              <w:t>Module 5</w:t>
            </w:r>
          </w:p>
        </w:tc>
        <w:tc>
          <w:tcPr>
            <w:tcW w:w="11470" w:type="dxa"/>
            <w:shd w:val="clear" w:color="auto" w:fill="auto"/>
          </w:tcPr>
          <w:p w:rsidR="00297D26" w:rsidRDefault="00297D26" w:rsidP="004D79E0">
            <w:pPr>
              <w:spacing w:before="60"/>
            </w:pPr>
            <w:r>
              <w:t>Perfect tenses, B2.7, B2.9, B2.18, B2.26, C1.23, + speaking accuracy</w:t>
            </w:r>
          </w:p>
        </w:tc>
      </w:tr>
      <w:tr w:rsidR="00297D26" w:rsidTr="004D79E0">
        <w:tc>
          <w:tcPr>
            <w:tcW w:w="2530" w:type="dxa"/>
            <w:gridSpan w:val="2"/>
            <w:shd w:val="clear" w:color="auto" w:fill="auto"/>
          </w:tcPr>
          <w:p w:rsidR="00297D26" w:rsidRDefault="00297D26" w:rsidP="004D79E0">
            <w:pPr>
              <w:spacing w:before="60"/>
            </w:pPr>
            <w:r>
              <w:t>Module 6</w:t>
            </w:r>
          </w:p>
        </w:tc>
        <w:tc>
          <w:tcPr>
            <w:tcW w:w="11470" w:type="dxa"/>
            <w:shd w:val="clear" w:color="auto" w:fill="auto"/>
          </w:tcPr>
          <w:p w:rsidR="00297D26" w:rsidRDefault="00297D26" w:rsidP="004D79E0">
            <w:pPr>
              <w:spacing w:before="60"/>
            </w:pPr>
            <w:r>
              <w:t>Articles, emphasis | C1.1, C1.11, B2.15, Note-making | Guessing from context</w:t>
            </w:r>
          </w:p>
        </w:tc>
      </w:tr>
      <w:tr w:rsidR="00297D26" w:rsidTr="004D79E0">
        <w:tc>
          <w:tcPr>
            <w:tcW w:w="2530" w:type="dxa"/>
            <w:gridSpan w:val="2"/>
            <w:shd w:val="clear" w:color="auto" w:fill="auto"/>
          </w:tcPr>
          <w:p w:rsidR="00297D26" w:rsidRDefault="00297D26" w:rsidP="004D79E0">
            <w:pPr>
              <w:spacing w:before="60"/>
            </w:pPr>
            <w:r>
              <w:t>Module 7</w:t>
            </w:r>
          </w:p>
        </w:tc>
        <w:tc>
          <w:tcPr>
            <w:tcW w:w="11470" w:type="dxa"/>
            <w:shd w:val="clear" w:color="auto" w:fill="auto"/>
          </w:tcPr>
          <w:p w:rsidR="00297D26" w:rsidRDefault="00297D26" w:rsidP="004D79E0">
            <w:pPr>
              <w:spacing w:before="60"/>
            </w:pPr>
            <w:r>
              <w:t>Relative clauses, Quantifiers | B2.16, B2.4, B2.18, C1.8, Improving reading speed</w:t>
            </w:r>
          </w:p>
        </w:tc>
      </w:tr>
      <w:tr w:rsidR="00297D26" w:rsidTr="004D79E0">
        <w:tc>
          <w:tcPr>
            <w:tcW w:w="2530" w:type="dxa"/>
            <w:gridSpan w:val="2"/>
            <w:shd w:val="clear" w:color="auto" w:fill="auto"/>
          </w:tcPr>
          <w:p w:rsidR="00297D26" w:rsidRDefault="00297D26" w:rsidP="004D79E0">
            <w:pPr>
              <w:spacing w:before="60"/>
            </w:pPr>
            <w:r>
              <w:t>Module 8</w:t>
            </w:r>
          </w:p>
        </w:tc>
        <w:tc>
          <w:tcPr>
            <w:tcW w:w="11470" w:type="dxa"/>
            <w:shd w:val="clear" w:color="auto" w:fill="auto"/>
          </w:tcPr>
          <w:p w:rsidR="00297D26" w:rsidRPr="006F3804" w:rsidRDefault="00297D26" w:rsidP="004D79E0">
            <w:pPr>
              <w:spacing w:before="60"/>
            </w:pPr>
            <w:r>
              <w:t>Gerunds, infinitives / C1.9, C1.13, C1.21, C1.32 Summarising, linking ideas</w:t>
            </w:r>
          </w:p>
        </w:tc>
      </w:tr>
      <w:tr w:rsidR="00297D26" w:rsidTr="004D79E0">
        <w:tc>
          <w:tcPr>
            <w:tcW w:w="2530" w:type="dxa"/>
            <w:gridSpan w:val="2"/>
            <w:shd w:val="clear" w:color="auto" w:fill="auto"/>
          </w:tcPr>
          <w:p w:rsidR="00297D26" w:rsidRDefault="00297D26" w:rsidP="004D79E0">
            <w:pPr>
              <w:spacing w:before="60"/>
            </w:pPr>
            <w:r>
              <w:t>Module 9</w:t>
            </w:r>
          </w:p>
        </w:tc>
        <w:tc>
          <w:tcPr>
            <w:tcW w:w="11470" w:type="dxa"/>
            <w:shd w:val="clear" w:color="auto" w:fill="auto"/>
          </w:tcPr>
          <w:p w:rsidR="00297D26" w:rsidRDefault="00297D26" w:rsidP="004D79E0">
            <w:pPr>
              <w:spacing w:before="60"/>
            </w:pPr>
            <w:r>
              <w:t>Modals, past modals | C1.2, C1.8, C1.19, Improve listening</w:t>
            </w:r>
          </w:p>
        </w:tc>
      </w:tr>
      <w:tr w:rsidR="00297D26" w:rsidTr="004D79E0">
        <w:tc>
          <w:tcPr>
            <w:tcW w:w="2530" w:type="dxa"/>
            <w:gridSpan w:val="2"/>
            <w:shd w:val="clear" w:color="auto" w:fill="auto"/>
          </w:tcPr>
          <w:p w:rsidR="00297D26" w:rsidRDefault="00297D26" w:rsidP="004D79E0">
            <w:pPr>
              <w:spacing w:before="60"/>
            </w:pPr>
            <w:r>
              <w:t>Module 10</w:t>
            </w:r>
          </w:p>
        </w:tc>
        <w:tc>
          <w:tcPr>
            <w:tcW w:w="11470" w:type="dxa"/>
            <w:shd w:val="clear" w:color="auto" w:fill="auto"/>
          </w:tcPr>
          <w:p w:rsidR="00297D26" w:rsidRDefault="00297D26" w:rsidP="004D79E0">
            <w:pPr>
              <w:spacing w:before="60"/>
            </w:pPr>
            <w:r>
              <w:t>Future forms| Ci.3, C1.9, C1.19, C1.23, C1.31, C1.38 | Internet Key Pals</w:t>
            </w:r>
          </w:p>
        </w:tc>
      </w:tr>
      <w:tr w:rsidR="00297D26" w:rsidTr="004D79E0">
        <w:tc>
          <w:tcPr>
            <w:tcW w:w="2530" w:type="dxa"/>
            <w:gridSpan w:val="2"/>
            <w:shd w:val="clear" w:color="auto" w:fill="auto"/>
          </w:tcPr>
          <w:p w:rsidR="00297D26" w:rsidRDefault="00297D26" w:rsidP="004D79E0">
            <w:pPr>
              <w:spacing w:before="60"/>
            </w:pPr>
            <w:r>
              <w:t>Module 11</w:t>
            </w:r>
          </w:p>
        </w:tc>
        <w:tc>
          <w:tcPr>
            <w:tcW w:w="11470" w:type="dxa"/>
            <w:shd w:val="clear" w:color="auto" w:fill="auto"/>
          </w:tcPr>
          <w:p w:rsidR="00297D26" w:rsidRDefault="00297D26" w:rsidP="004D79E0">
            <w:pPr>
              <w:spacing w:before="60"/>
            </w:pPr>
            <w:r>
              <w:t xml:space="preserve">Present and past hypothetical situations |  C1.4, C1.9, B2.15, B2.17, B2.33 |Internet: online news </w:t>
            </w:r>
          </w:p>
        </w:tc>
      </w:tr>
      <w:tr w:rsidR="00297D26" w:rsidTr="004D79E0">
        <w:tc>
          <w:tcPr>
            <w:tcW w:w="2530" w:type="dxa"/>
            <w:gridSpan w:val="2"/>
            <w:shd w:val="clear" w:color="auto" w:fill="auto"/>
          </w:tcPr>
          <w:p w:rsidR="00297D26" w:rsidRDefault="00297D26" w:rsidP="004D79E0">
            <w:pPr>
              <w:spacing w:before="60"/>
            </w:pPr>
            <w:r>
              <w:t>Module 12</w:t>
            </w:r>
          </w:p>
        </w:tc>
        <w:tc>
          <w:tcPr>
            <w:tcW w:w="11470" w:type="dxa"/>
            <w:shd w:val="clear" w:color="auto" w:fill="auto"/>
          </w:tcPr>
          <w:p w:rsidR="00297D26" w:rsidRDefault="00297D26" w:rsidP="004D79E0">
            <w:pPr>
              <w:spacing w:before="60"/>
            </w:pPr>
            <w:r>
              <w:t xml:space="preserve"> Reporting Speech Summarising | B2.5, C1.2, B2.25, C1.18, B2.30</w:t>
            </w:r>
          </w:p>
        </w:tc>
      </w:tr>
      <w:tr w:rsidR="00297D26" w:rsidTr="004D79E0">
        <w:tc>
          <w:tcPr>
            <w:tcW w:w="14000" w:type="dxa"/>
            <w:gridSpan w:val="3"/>
            <w:shd w:val="clear" w:color="auto" w:fill="auto"/>
          </w:tcPr>
          <w:p w:rsidR="00297D26" w:rsidRPr="009F5677" w:rsidRDefault="00297D26" w:rsidP="004D79E0">
            <w:pPr>
              <w:rPr>
                <w:sz w:val="32"/>
              </w:rPr>
            </w:pPr>
            <w:r w:rsidRPr="009F5677">
              <w:rPr>
                <w:sz w:val="32"/>
              </w:rPr>
              <w:t xml:space="preserve">After completing </w:t>
            </w:r>
            <w:r w:rsidRPr="009F5677">
              <w:rPr>
                <w:i/>
                <w:sz w:val="32"/>
              </w:rPr>
              <w:t>New Cutting Edge Upper Intermediate</w:t>
            </w:r>
            <w:r w:rsidRPr="009F5677">
              <w:rPr>
                <w:sz w:val="32"/>
              </w:rPr>
              <w:t xml:space="preserve"> students should be beyond B2 and have some skills</w:t>
            </w:r>
            <w:r w:rsidRPr="009F5677">
              <w:rPr>
                <w:sz w:val="32"/>
              </w:rPr>
              <w:br/>
              <w:t xml:space="preserve"> </w:t>
            </w:r>
            <w:proofErr w:type="gramStart"/>
            <w:r w:rsidRPr="009F5677">
              <w:rPr>
                <w:sz w:val="32"/>
              </w:rPr>
              <w:t>at  C1</w:t>
            </w:r>
            <w:proofErr w:type="gramEnd"/>
            <w:r w:rsidRPr="009F5677">
              <w:rPr>
                <w:sz w:val="32"/>
              </w:rPr>
              <w:t xml:space="preserve"> level. </w:t>
            </w:r>
          </w:p>
        </w:tc>
      </w:tr>
      <w:tr w:rsidR="00297D26" w:rsidTr="004D79E0">
        <w:tc>
          <w:tcPr>
            <w:tcW w:w="14000" w:type="dxa"/>
            <w:gridSpan w:val="3"/>
            <w:shd w:val="clear" w:color="auto" w:fill="auto"/>
          </w:tcPr>
          <w:p w:rsidR="00297D26" w:rsidRPr="00C1651A" w:rsidRDefault="00297D26" w:rsidP="004D79E0">
            <w:pPr>
              <w:spacing w:before="60"/>
            </w:pPr>
            <w:r w:rsidRPr="00C1651A">
              <w:t xml:space="preserve">All books in New Cutting Edge series, prepare students for extended </w:t>
            </w:r>
            <w:r w:rsidRPr="009F5677">
              <w:rPr>
                <w:b/>
                <w:i/>
              </w:rPr>
              <w:t>oral</w:t>
            </w:r>
            <w:r w:rsidRPr="00C1651A">
              <w:t xml:space="preserve"> tasks, teachers who also wish to develop writing skills, should always use the optional </w:t>
            </w:r>
            <w:r w:rsidRPr="009F5677">
              <w:rPr>
                <w:b/>
                <w:i/>
              </w:rPr>
              <w:t>writing</w:t>
            </w:r>
            <w:r w:rsidRPr="00C1651A">
              <w:t xml:space="preserve"> tasks.</w:t>
            </w:r>
          </w:p>
        </w:tc>
      </w:tr>
    </w:tbl>
    <w:p w:rsidR="000F50DD" w:rsidRDefault="000F50DD">
      <w:bookmarkStart w:id="0" w:name="_GoBack"/>
      <w:bookmarkEnd w:id="0"/>
    </w:p>
    <w:sectPr w:rsidR="000F50DD" w:rsidSect="00297D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26"/>
    <w:rsid w:val="000F50DD"/>
    <w:rsid w:val="0029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7D2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7D2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Kardosova</dc:creator>
  <cp:lastModifiedBy>Martina Kardosova</cp:lastModifiedBy>
  <cp:revision>1</cp:revision>
  <dcterms:created xsi:type="dcterms:W3CDTF">2015-01-26T10:38:00Z</dcterms:created>
  <dcterms:modified xsi:type="dcterms:W3CDTF">2015-01-26T10:39:00Z</dcterms:modified>
</cp:coreProperties>
</file>